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88" w:rsidRPr="00C2382F" w:rsidRDefault="00632988" w:rsidP="00632988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88718867" r:id="rId5"/>
        </w:object>
      </w:r>
    </w:p>
    <w:p w:rsidR="00632988" w:rsidRPr="00C2382F" w:rsidRDefault="00632988" w:rsidP="00632988">
      <w:pPr>
        <w:pStyle w:val="a6"/>
      </w:pPr>
    </w:p>
    <w:p w:rsidR="00632988" w:rsidRPr="00C2382F" w:rsidRDefault="00632988" w:rsidP="00632988">
      <w:pPr>
        <w:pStyle w:val="a6"/>
        <w:rPr>
          <w:sz w:val="32"/>
        </w:rPr>
      </w:pPr>
      <w:r w:rsidRPr="00C2382F">
        <w:rPr>
          <w:sz w:val="32"/>
        </w:rPr>
        <w:t>Российская Федерация</w:t>
      </w:r>
    </w:p>
    <w:p w:rsidR="00632988" w:rsidRPr="00C2382F" w:rsidRDefault="00632988" w:rsidP="00632988">
      <w:pPr>
        <w:pStyle w:val="a6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632988" w:rsidRPr="00C2382F" w:rsidRDefault="00632988" w:rsidP="00632988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632988" w:rsidRPr="00C2382F" w:rsidRDefault="00632988" w:rsidP="00632988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632988" w:rsidRPr="00C2382F" w:rsidRDefault="00632988" w:rsidP="00632988">
      <w:pPr>
        <w:jc w:val="center"/>
        <w:rPr>
          <w:b/>
          <w:bCs/>
          <w:i/>
          <w:iCs/>
        </w:rPr>
      </w:pPr>
    </w:p>
    <w:p w:rsidR="00632988" w:rsidRPr="00C2382F" w:rsidRDefault="00632988" w:rsidP="00632988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632988" w:rsidRPr="00C2382F" w:rsidRDefault="00632988" w:rsidP="00632988">
      <w:pPr>
        <w:jc w:val="center"/>
        <w:rPr>
          <w:b/>
          <w:bCs/>
          <w:sz w:val="32"/>
        </w:rPr>
      </w:pPr>
    </w:p>
    <w:p w:rsidR="00632988" w:rsidRPr="00C2382F" w:rsidRDefault="00632988" w:rsidP="00632988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 марта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336</w:t>
      </w:r>
      <w:bookmarkEnd w:id="0"/>
    </w:p>
    <w:p w:rsidR="00632988" w:rsidRDefault="00632988" w:rsidP="00632988">
      <w:pPr>
        <w:jc w:val="both"/>
        <w:rPr>
          <w:sz w:val="28"/>
          <w:szCs w:val="28"/>
        </w:rPr>
      </w:pPr>
    </w:p>
    <w:p w:rsidR="00632988" w:rsidRPr="00E71754" w:rsidRDefault="00632988" w:rsidP="00632988">
      <w:pPr>
        <w:rPr>
          <w:sz w:val="28"/>
          <w:szCs w:val="28"/>
        </w:rPr>
      </w:pPr>
      <w:r w:rsidRPr="00E71754">
        <w:rPr>
          <w:sz w:val="28"/>
          <w:szCs w:val="28"/>
        </w:rPr>
        <w:t>О внесении изменений в П</w:t>
      </w:r>
      <w:r>
        <w:rPr>
          <w:sz w:val="28"/>
          <w:szCs w:val="28"/>
        </w:rPr>
        <w:t>равила</w:t>
      </w:r>
      <w:r w:rsidRPr="00E71754">
        <w:rPr>
          <w:sz w:val="28"/>
          <w:szCs w:val="28"/>
        </w:rPr>
        <w:t xml:space="preserve"> </w:t>
      </w:r>
    </w:p>
    <w:p w:rsidR="00632988" w:rsidRDefault="00632988" w:rsidP="006329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благоустройства</w:t>
      </w:r>
      <w:proofErr w:type="gramEnd"/>
      <w:r>
        <w:rPr>
          <w:sz w:val="28"/>
          <w:szCs w:val="28"/>
        </w:rPr>
        <w:t>, обеспечения</w:t>
      </w:r>
    </w:p>
    <w:p w:rsidR="00632988" w:rsidRPr="00E71754" w:rsidRDefault="00632988" w:rsidP="006329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чистоты</w:t>
      </w:r>
      <w:proofErr w:type="gramEnd"/>
      <w:r>
        <w:rPr>
          <w:sz w:val="28"/>
          <w:szCs w:val="28"/>
        </w:rPr>
        <w:t xml:space="preserve"> и порядка на территории</w:t>
      </w:r>
    </w:p>
    <w:p w:rsidR="00632988" w:rsidRPr="00E71754" w:rsidRDefault="00632988" w:rsidP="00632988">
      <w:pPr>
        <w:rPr>
          <w:sz w:val="28"/>
          <w:szCs w:val="28"/>
        </w:rPr>
      </w:pPr>
      <w:r w:rsidRPr="00E71754">
        <w:rPr>
          <w:sz w:val="28"/>
          <w:szCs w:val="28"/>
        </w:rPr>
        <w:t>Кушвинского городского округа</w:t>
      </w:r>
    </w:p>
    <w:p w:rsidR="00632988" w:rsidRPr="00C8697D" w:rsidRDefault="00632988" w:rsidP="00632988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632988" w:rsidRPr="00C8697D" w:rsidRDefault="00632988" w:rsidP="00632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В целях обеспечения чистоты и порядка на территории Кушвинского городского округа, руководствуясь Фед</w:t>
      </w:r>
      <w:r w:rsidRPr="00C8697D">
        <w:rPr>
          <w:sz w:val="28"/>
          <w:szCs w:val="28"/>
        </w:rPr>
        <w:t>е</w:t>
      </w:r>
      <w:r w:rsidRPr="00C8697D">
        <w:rPr>
          <w:sz w:val="28"/>
          <w:szCs w:val="28"/>
        </w:rPr>
        <w:t>ральным законом от 06 октября 2003 года № 131-ФЗ «Об общих принципах орган</w:t>
      </w:r>
      <w:r w:rsidRPr="00C8697D">
        <w:rPr>
          <w:sz w:val="28"/>
          <w:szCs w:val="28"/>
        </w:rPr>
        <w:t>и</w:t>
      </w:r>
      <w:r w:rsidRPr="00C8697D">
        <w:rPr>
          <w:sz w:val="28"/>
          <w:szCs w:val="28"/>
        </w:rPr>
        <w:t>зации местного самоуправления в Российской Федерации», Санитарными правилами и нормами СанПиН 42-128-4690-88 «Санитарные правила содержания территории населенных мест», утвержденными Министерством здравоохранения СССР 05 августа 1988 года № 4690-88, Уставом Кушвинского горо</w:t>
      </w:r>
      <w:r w:rsidRPr="00C8697D">
        <w:rPr>
          <w:sz w:val="28"/>
          <w:szCs w:val="28"/>
        </w:rPr>
        <w:t>д</w:t>
      </w:r>
      <w:r w:rsidRPr="00C8697D">
        <w:rPr>
          <w:sz w:val="28"/>
          <w:szCs w:val="28"/>
        </w:rPr>
        <w:t>ского округа, с учетом заключения по результатам публичных слушаний от 30 января 2015 года, Дума Кушвинского городского округа</w:t>
      </w:r>
    </w:p>
    <w:p w:rsidR="00632988" w:rsidRPr="00C8697D" w:rsidRDefault="00632988" w:rsidP="00632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2988" w:rsidRPr="00C8697D" w:rsidRDefault="00632988" w:rsidP="0063298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97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32988" w:rsidRPr="00C8697D" w:rsidRDefault="00632988" w:rsidP="00632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2988" w:rsidRPr="00C8697D" w:rsidRDefault="00632988" w:rsidP="00632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0"/>
      <w:r w:rsidRPr="00C8697D">
        <w:rPr>
          <w:sz w:val="28"/>
          <w:szCs w:val="28"/>
        </w:rPr>
        <w:t>1. </w:t>
      </w:r>
      <w:bookmarkStart w:id="2" w:name="sub_20"/>
      <w:bookmarkEnd w:id="1"/>
      <w:r w:rsidRPr="00C8697D">
        <w:rPr>
          <w:sz w:val="28"/>
          <w:szCs w:val="28"/>
        </w:rPr>
        <w:t>Внести в Правила благоустройства, обеспечения чистоты и порядка на территории Кушвинского городского округа, утвержденные решением Думы Кушвинского городского округа от 17 мая 2012 года № 46 (с изменениями, внесенными решениями Думы Кушвинского городского округа от 20 декабря 2012 года № 112, от 27 марта 2014 года № 242) следующие изменения: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1.1. Раздел 3 дополнить пунктом 3.2.36 следующего содержания: </w:t>
      </w:r>
    </w:p>
    <w:p w:rsidR="00632988" w:rsidRPr="00C8697D" w:rsidRDefault="00632988" w:rsidP="00632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«3.2.36. Собственники земельных участков, землепользователи, землевладельцы и арендаторы земельных участков в процессе устройства и </w:t>
      </w:r>
      <w:proofErr w:type="gramStart"/>
      <w:r w:rsidRPr="00C8697D">
        <w:rPr>
          <w:sz w:val="28"/>
          <w:szCs w:val="28"/>
        </w:rPr>
        <w:t>эксплуатации бытовых колодцев</w:t>
      </w:r>
      <w:proofErr w:type="gramEnd"/>
      <w:r w:rsidRPr="00C8697D">
        <w:rPr>
          <w:sz w:val="28"/>
          <w:szCs w:val="28"/>
        </w:rPr>
        <w:t xml:space="preserve"> и скважин обязаны:</w:t>
      </w:r>
    </w:p>
    <w:p w:rsidR="00632988" w:rsidRPr="00C8697D" w:rsidRDefault="00632988" w:rsidP="00632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соблюдать требования действующих нормативов и правил по охране окружающей среды, не допускать загрязнения подземных вод через принадлежащие им колодцы и скважины;</w:t>
      </w:r>
    </w:p>
    <w:p w:rsidR="00632988" w:rsidRPr="00C8697D" w:rsidRDefault="00632988" w:rsidP="00632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- обеспечивать водонепроницаемость емкостей для хранения твердых и жидких бытовых отходов, отходов сельскохозяйственных производств, не допускать </w:t>
      </w:r>
      <w:r w:rsidRPr="00C8697D">
        <w:rPr>
          <w:sz w:val="28"/>
          <w:szCs w:val="28"/>
        </w:rPr>
        <w:lastRenderedPageBreak/>
        <w:t>фильтрации загрязненных бытовых стоков с поверхности почвы в водоносные горизонты.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Яма-накопитель бытовых стоков частного дома должна располагаться на территории, непосредственно к нему прилегающей и находиться на расстоянии: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- от центрального водовода </w:t>
      </w:r>
      <w:r>
        <w:rPr>
          <w:sz w:val="28"/>
          <w:szCs w:val="28"/>
        </w:rPr>
        <w:t>–</w:t>
      </w:r>
      <w:r w:rsidRPr="00C8697D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C8697D">
        <w:rPr>
          <w:sz w:val="28"/>
          <w:szCs w:val="28"/>
        </w:rPr>
        <w:t xml:space="preserve">менее </w:t>
      </w:r>
      <w:smartTag w:uri="urn:schemas-microsoft-com:office:smarttags" w:element="metricconverter">
        <w:smartTagPr>
          <w:attr w:name="ProductID" w:val="10 метров"/>
        </w:smartTagPr>
        <w:r w:rsidRPr="00C8697D">
          <w:rPr>
            <w:sz w:val="28"/>
            <w:szCs w:val="28"/>
          </w:rPr>
          <w:t>10 метров</w:t>
        </w:r>
      </w:smartTag>
      <w:r w:rsidRPr="00C8697D">
        <w:rPr>
          <w:sz w:val="28"/>
          <w:szCs w:val="28"/>
        </w:rPr>
        <w:t>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- от колодца питьевой воды </w:t>
      </w:r>
      <w:r>
        <w:rPr>
          <w:sz w:val="28"/>
          <w:szCs w:val="28"/>
        </w:rPr>
        <w:t>–</w:t>
      </w:r>
      <w:r w:rsidRPr="00C8697D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C8697D">
        <w:rPr>
          <w:sz w:val="28"/>
          <w:szCs w:val="28"/>
        </w:rPr>
        <w:t xml:space="preserve">менее </w:t>
      </w:r>
      <w:smartTag w:uri="urn:schemas-microsoft-com:office:smarttags" w:element="metricconverter">
        <w:smartTagPr>
          <w:attr w:name="ProductID" w:val="20 метров"/>
        </w:smartTagPr>
        <w:r w:rsidRPr="00C8697D">
          <w:rPr>
            <w:sz w:val="28"/>
            <w:szCs w:val="28"/>
          </w:rPr>
          <w:t>20 метров</w:t>
        </w:r>
      </w:smartTag>
      <w:r w:rsidRPr="00C8697D">
        <w:rPr>
          <w:sz w:val="28"/>
          <w:szCs w:val="28"/>
        </w:rPr>
        <w:t>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- от дома на участке и от домов и сооружений, расположенных на соседних участках </w:t>
      </w:r>
      <w:r>
        <w:rPr>
          <w:sz w:val="28"/>
          <w:szCs w:val="28"/>
        </w:rPr>
        <w:t>–</w:t>
      </w:r>
      <w:r w:rsidRPr="00C8697D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C8697D">
        <w:rPr>
          <w:sz w:val="28"/>
          <w:szCs w:val="28"/>
        </w:rPr>
        <w:t>менее 10-12 метров</w:t>
      </w:r>
      <w:r>
        <w:rPr>
          <w:sz w:val="28"/>
          <w:szCs w:val="28"/>
        </w:rPr>
        <w:t>;</w:t>
      </w:r>
      <w:r w:rsidRPr="00C8697D">
        <w:rPr>
          <w:sz w:val="28"/>
          <w:szCs w:val="28"/>
        </w:rPr>
        <w:t xml:space="preserve"> 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- от забора, ограничивающего участок </w:t>
      </w:r>
      <w:r>
        <w:rPr>
          <w:sz w:val="28"/>
          <w:szCs w:val="28"/>
        </w:rPr>
        <w:t>–</w:t>
      </w:r>
      <w:r w:rsidRPr="00C8697D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C8697D">
        <w:rPr>
          <w:sz w:val="28"/>
          <w:szCs w:val="28"/>
        </w:rPr>
        <w:t xml:space="preserve">менее </w:t>
      </w:r>
      <w:smartTag w:uri="urn:schemas-microsoft-com:office:smarttags" w:element="metricconverter">
        <w:smartTagPr>
          <w:attr w:name="ProductID" w:val="1 метра"/>
        </w:smartTagPr>
        <w:r w:rsidRPr="00C8697D">
          <w:rPr>
            <w:sz w:val="28"/>
            <w:szCs w:val="28"/>
          </w:rPr>
          <w:t>1 метра</w:t>
        </w:r>
      </w:smartTag>
      <w:r w:rsidRPr="00C8697D">
        <w:rPr>
          <w:sz w:val="28"/>
          <w:szCs w:val="28"/>
        </w:rPr>
        <w:t>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Глубина ямы выбирается в зависимости от глубины залегания грунтовых вод, и не должна превышать </w:t>
      </w:r>
      <w:smartTag w:uri="urn:schemas-microsoft-com:office:smarttags" w:element="metricconverter">
        <w:smartTagPr>
          <w:attr w:name="ProductID" w:val="3 метров"/>
        </w:smartTagPr>
        <w:r w:rsidRPr="00C8697D">
          <w:rPr>
            <w:sz w:val="28"/>
            <w:szCs w:val="28"/>
          </w:rPr>
          <w:t>3 метров</w:t>
        </w:r>
      </w:smartTag>
      <w:r w:rsidRPr="00C8697D">
        <w:rPr>
          <w:sz w:val="28"/>
          <w:szCs w:val="28"/>
        </w:rPr>
        <w:t>.».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1.2. Пункт 9.2.1 раздела 9 изложить в следующей редакции: 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«9.2.1. Разрешение на земляные работы выдается отделом градостроительства и архитектуры администрации Кушвинского городского округа.».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1.3. Пункт 9.2.2 раздела 9 изложить в следующей редакции: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«9.2.2. Разрешение выписывается в 2-х экземплярах и соответственно хранится в отделе градостроительства и архитектуры администрации Кушвинского городского округа и у заказчика в течение срока действия разрешения и трех лет после завершения работ.».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1.4. Пункт 9.2.4 раздела 9 изложить в следующей редакции: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«9.2.4. Разрешение выдается после предоставления заказчиком следующих документов: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заполненных бланков листов согласования с организациями коммунального комплекса, обслуживающими соответствующие земельные участки, на которых производятся земляные работы;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гарантийного обязательства по восстановлению нарушенного благоустройства;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разработанного заявителем проекта производства работ (при новом строительстве);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- схемы расположения на участке производства работ; 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- в случае необходимости вырубки зеленых насаждений – разрешения на вырубку деревьев, выданного администрацией Кушвинского городского округа.».  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1.5. Пункт 9.24 раздела 9 дополнить абзацами следующего содержания: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«Запрещается засыпка траншей на проезжих частях и тротуарах мерзлыми, глинистыми грунтами, строительным мусором и прочими сжимаемыми грунтами.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камня.</w:t>
      </w:r>
    </w:p>
    <w:p w:rsidR="00632988" w:rsidRPr="00C8697D" w:rsidRDefault="00632988" w:rsidP="00632988">
      <w:pPr>
        <w:widowControl w:val="0"/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Покрытие, поврежденное в ходе проведения земляных работ, должно быть восстановлено производителем работ независимо от типа покрытия в срок, указанный в гарантийном письме, заполняемым заявителем при получении разрешения на производство земляных работ на строительство, ремонт, реконструкцию инженерных коммуникаций и иных объектов, в первоначальном объеме и в соответствии с изначальным состоянием территории (до начала проведения земляных работ).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lastRenderedPageBreak/>
        <w:t>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провести необходимые мероприятия по приведению в порядок территории в зоне производства земляных работ;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- поддерживать обеспечение безопасного и </w:t>
      </w:r>
      <w:proofErr w:type="gramStart"/>
      <w:r w:rsidRPr="00C8697D">
        <w:rPr>
          <w:sz w:val="28"/>
          <w:szCs w:val="28"/>
        </w:rPr>
        <w:t>беспрепятственного движения пешеходов</w:t>
      </w:r>
      <w:proofErr w:type="gramEnd"/>
      <w:r w:rsidRPr="00C8697D">
        <w:rPr>
          <w:sz w:val="28"/>
          <w:szCs w:val="28"/>
        </w:rPr>
        <w:t xml:space="preserve"> и транспорта по нарушенным в ходе производства земляных работ участкам дорог (тротуаров) до момента полного восстановления элементов благоустройства.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При проведении земляных работ в зимний период нарушенные элементы благоустройства должны быть восстановлены в зимнем варианте (засыпан песок, уложен и уплотнен щебень, поверх уложены железобетонные плиты) и сданы по акту в срок, определенный в соответствии с гарантийным письмом по восстановлению нарушенного благоустройства. Окончательное восстановление поврежденных элементов благоустройства территории (асфальт, тротуарная плитка, бордюры, </w:t>
      </w:r>
      <w:proofErr w:type="spellStart"/>
      <w:r w:rsidRPr="00C8697D">
        <w:rPr>
          <w:sz w:val="28"/>
          <w:szCs w:val="28"/>
        </w:rPr>
        <w:t>поребрики</w:t>
      </w:r>
      <w:proofErr w:type="spellEnd"/>
      <w:r w:rsidRPr="00C8697D">
        <w:rPr>
          <w:sz w:val="28"/>
          <w:szCs w:val="28"/>
        </w:rPr>
        <w:t>, газоны, клумбы, иные участки озеленения) должно быть завершено после окончания зимнего периода, но не позднее 15 мая текущего года.».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1.6. Раздел 11 дополнить пунктами 11.12, 11.13 следующего содержания: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«11.12. При содержании фасадов зданий, строений и сооружений запрещается: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самовольное переоборудование или изменение внешнего вида фасада здания либо его элементов;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самовольное нанесение надписей;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нарушение установленных требований по размещению вывесок, указателей улиц, номерных знаков домов, зданий и сооружений.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11.13. Под изменением внешнего вида фасадов понимается: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создание, изменение или ликвидация крылец, навесов, козырьков, карнизов, балконов, лоджий, веранд, террас, эркеров, декоративных элементов, дверных, витринных, арочных и оконных проемов;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замена облицовочного материала;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покраска фасада, его частей в цвет, отличающийся от цвета, согласованного проектом;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изменение конструкции крыши, материала кровли, элементов безопасности крыши, элементов организованного наружного водостока;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установка (крепление) или демонтаж дополнительных элементов и устройств (кондиционеры, фасадные трубы (дымоходные, вентиляционные) и т.д.).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Переоборудование или изменение внешнего вида фасадов зданий и сооружений либо их элементов производится после согласования с отделом градостроительства и архитектуры администрации Кушвинского городского округа проектной документации и оформления необходимой разрешительной документации. 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Устройство балконов разрешается только на первых этажах в размерах и по линии существующих балконов в соответствии с действующим законодательством.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Запрещается устройство балконов на фасадах, выходящих на магистральные улицы. 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Отдел градостроительства и архитектуры администрации Кушвинского городского округа осуществляет контроль за соответствием деятельности, связанной </w:t>
      </w:r>
      <w:r w:rsidRPr="00C8697D">
        <w:rPr>
          <w:sz w:val="28"/>
          <w:szCs w:val="28"/>
        </w:rPr>
        <w:lastRenderedPageBreak/>
        <w:t xml:space="preserve">с содержанием фасадов зданий и сооружений, переоборудованием фасадов и их элементов на территории Кушвинского городского округа и их соответствием градостроительным нормам и </w:t>
      </w:r>
      <w:proofErr w:type="gramStart"/>
      <w:r w:rsidRPr="00C8697D">
        <w:rPr>
          <w:sz w:val="28"/>
          <w:szCs w:val="28"/>
        </w:rPr>
        <w:t>правилам</w:t>
      </w:r>
      <w:proofErr w:type="gramEnd"/>
      <w:r w:rsidRPr="00C8697D">
        <w:rPr>
          <w:sz w:val="28"/>
          <w:szCs w:val="28"/>
        </w:rPr>
        <w:t xml:space="preserve"> и требованиям, установленным настоящими Правилами.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При нарушении градостроительных норм и правил, предъявляемых к содержанию, переоборудованию фасадов и их элементов, специалисты отдела градостроительства и архитектуры администрации Кушвинского городского округа вправе выдать соответствующие предписания.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На фасадах вновь строящихся зданий оборудование архитектурно-художественной подсветки устанавливается в соответствии с проектной документацией.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На фасадах зданий, строений и сооружений допускается установка следующих домовых знаков: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угловой указатель улицы, площади, проспекта, проезда, переулка;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указатель номера дома, строения;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указатель номера подъезда и номеров квартир в подъезде;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 xml:space="preserve">- </w:t>
      </w:r>
      <w:proofErr w:type="spellStart"/>
      <w:r w:rsidRPr="00C8697D">
        <w:rPr>
          <w:sz w:val="28"/>
          <w:szCs w:val="28"/>
        </w:rPr>
        <w:t>флагодержатель</w:t>
      </w:r>
      <w:proofErr w:type="spellEnd"/>
      <w:r w:rsidRPr="00C8697D">
        <w:rPr>
          <w:sz w:val="28"/>
          <w:szCs w:val="28"/>
        </w:rPr>
        <w:t>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памятная доска;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полигонометрический знак;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указатель пожарного гидранта;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указатель грунтовых геодезических знаков;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указатель городской канализации и водопровода;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- указатель подземного газопровода.».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1.7. Абзац первый пункта 11.3 раздела 11 изложить в следующей редакции: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697D">
        <w:rPr>
          <w:sz w:val="28"/>
          <w:szCs w:val="28"/>
        </w:rPr>
        <w:t>Предприятия и организации, являющиеся балансодержателями, собственниками, арендаторами, владельцами, пользователями зданий, сооружений</w:t>
      </w:r>
      <w:r w:rsidRPr="00C8697D">
        <w:rPr>
          <w:color w:val="000000"/>
          <w:sz w:val="28"/>
          <w:szCs w:val="28"/>
        </w:rPr>
        <w:t xml:space="preserve"> (в том числе индивидуальных жилых домов), </w:t>
      </w:r>
      <w:r w:rsidRPr="00C8697D">
        <w:rPr>
          <w:sz w:val="28"/>
          <w:szCs w:val="28"/>
        </w:rPr>
        <w:t>обязаны обеспечивать надлежащее содержание и своевременное производство работ по реставрации, ремонту и покраске зданий, сооружений, их фасадов, крыш и отдельных элементов, при необходимости прикрывать главный фасад зданий баннерной сеткой (эскиз баннерной сетки согласовать с отделом градостроительства и архитектуры администрации Кушвинского городского округа), а также поддерживать в чистоте и исправном состоянии расположенные на фасадах памятные доски, указатели улиц (переулков, площадей и пр.), номерные знаки и т.п.».</w:t>
      </w:r>
    </w:p>
    <w:p w:rsidR="00632988" w:rsidRPr="00C8697D" w:rsidRDefault="00632988" w:rsidP="00632988">
      <w:pPr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2.</w:t>
      </w:r>
      <w:bookmarkStart w:id="3" w:name="sub_70"/>
      <w:bookmarkEnd w:id="2"/>
      <w:r w:rsidRPr="00C8697D">
        <w:rPr>
          <w:sz w:val="28"/>
          <w:szCs w:val="28"/>
        </w:rPr>
        <w:t> Настоящее решение вступает в силу со дня его официального опубликов</w:t>
      </w:r>
      <w:r w:rsidRPr="00C8697D">
        <w:rPr>
          <w:sz w:val="28"/>
          <w:szCs w:val="28"/>
        </w:rPr>
        <w:t>а</w:t>
      </w:r>
      <w:r w:rsidRPr="00C8697D">
        <w:rPr>
          <w:sz w:val="28"/>
          <w:szCs w:val="28"/>
        </w:rPr>
        <w:t>ния.</w:t>
      </w:r>
    </w:p>
    <w:bookmarkEnd w:id="3"/>
    <w:p w:rsidR="00632988" w:rsidRPr="00C8697D" w:rsidRDefault="00632988" w:rsidP="00632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97D">
        <w:rPr>
          <w:sz w:val="28"/>
          <w:szCs w:val="28"/>
        </w:rPr>
        <w:t>3. Опубликовать настоящее решение в газете «</w:t>
      </w:r>
      <w:proofErr w:type="spellStart"/>
      <w:r w:rsidRPr="00C8697D">
        <w:rPr>
          <w:sz w:val="28"/>
          <w:szCs w:val="28"/>
        </w:rPr>
        <w:t>Кушвинский</w:t>
      </w:r>
      <w:proofErr w:type="spellEnd"/>
      <w:r w:rsidRPr="00C8697D">
        <w:rPr>
          <w:sz w:val="28"/>
          <w:szCs w:val="28"/>
        </w:rPr>
        <w:t xml:space="preserve"> рабочий».</w:t>
      </w:r>
    </w:p>
    <w:p w:rsidR="00632988" w:rsidRDefault="00632988" w:rsidP="00632988">
      <w:pPr>
        <w:jc w:val="both"/>
        <w:rPr>
          <w:sz w:val="28"/>
          <w:szCs w:val="28"/>
        </w:rPr>
      </w:pPr>
    </w:p>
    <w:p w:rsidR="00632988" w:rsidRDefault="00632988" w:rsidP="00632988">
      <w:pPr>
        <w:rPr>
          <w:sz w:val="29"/>
          <w:szCs w:val="29"/>
        </w:rPr>
      </w:pPr>
      <w:r>
        <w:rPr>
          <w:sz w:val="29"/>
          <w:szCs w:val="29"/>
        </w:rPr>
        <w:t>Исполняющий полномочия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>Исполняющий полномочия</w:t>
      </w:r>
    </w:p>
    <w:p w:rsidR="00632988" w:rsidRDefault="00632988" w:rsidP="00632988">
      <w:pPr>
        <w:rPr>
          <w:sz w:val="29"/>
          <w:szCs w:val="29"/>
        </w:rPr>
      </w:pPr>
      <w:proofErr w:type="gramStart"/>
      <w:r>
        <w:rPr>
          <w:sz w:val="29"/>
          <w:szCs w:val="29"/>
        </w:rPr>
        <w:t>главы</w:t>
      </w:r>
      <w:proofErr w:type="gramEnd"/>
      <w:r>
        <w:rPr>
          <w:sz w:val="29"/>
          <w:szCs w:val="29"/>
        </w:rPr>
        <w:t xml:space="preserve"> Кушвинского 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>председателя Думы</w:t>
      </w:r>
    </w:p>
    <w:p w:rsidR="00632988" w:rsidRDefault="00632988" w:rsidP="00632988">
      <w:pPr>
        <w:rPr>
          <w:sz w:val="29"/>
          <w:szCs w:val="29"/>
        </w:rPr>
      </w:pPr>
      <w:proofErr w:type="gramStart"/>
      <w:r>
        <w:rPr>
          <w:sz w:val="29"/>
          <w:szCs w:val="29"/>
        </w:rPr>
        <w:t>городского</w:t>
      </w:r>
      <w:proofErr w:type="gramEnd"/>
      <w:r>
        <w:rPr>
          <w:sz w:val="29"/>
          <w:szCs w:val="29"/>
        </w:rPr>
        <w:t xml:space="preserve"> округа 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Кушвинского городского округа </w:t>
      </w:r>
    </w:p>
    <w:p w:rsidR="00632988" w:rsidRDefault="00632988" w:rsidP="00632988">
      <w:pPr>
        <w:rPr>
          <w:sz w:val="29"/>
          <w:szCs w:val="29"/>
        </w:rPr>
      </w:pPr>
    </w:p>
    <w:p w:rsidR="00632988" w:rsidRPr="00C2382F" w:rsidRDefault="00632988" w:rsidP="00632988">
      <w:pPr>
        <w:rPr>
          <w:sz w:val="29"/>
          <w:szCs w:val="29"/>
        </w:rPr>
        <w:sectPr w:rsidR="00632988" w:rsidRPr="00C2382F" w:rsidSect="001C4D4D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9"/>
          <w:szCs w:val="29"/>
        </w:rPr>
        <w:t>___________ М.В. Слепухин</w:t>
      </w:r>
      <w:r w:rsidRPr="00C2382F"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____________ П.Ю. </w:t>
      </w:r>
      <w:proofErr w:type="spellStart"/>
      <w:r>
        <w:rPr>
          <w:sz w:val="29"/>
          <w:szCs w:val="29"/>
        </w:rPr>
        <w:t>Болтин</w:t>
      </w:r>
      <w:proofErr w:type="spellEnd"/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83" w:rsidRDefault="00632988" w:rsidP="00BF67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3183" w:rsidRDefault="00632988" w:rsidP="00BF67E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83" w:rsidRDefault="00632988" w:rsidP="00BF67E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88"/>
    <w:rsid w:val="00632988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7CC3D-316A-4272-B5CB-2F522BD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8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3298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32988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6329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988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632988"/>
  </w:style>
  <w:style w:type="paragraph" w:styleId="a6">
    <w:name w:val="Title"/>
    <w:basedOn w:val="a"/>
    <w:link w:val="a7"/>
    <w:qFormat/>
    <w:rsid w:val="00632988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632988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329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2015-03-24T11:14:00Z</dcterms:created>
  <dcterms:modified xsi:type="dcterms:W3CDTF">2015-03-24T11:15:00Z</dcterms:modified>
</cp:coreProperties>
</file>