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280BD9" w14:paraId="5E4CD455" w14:textId="777777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280BD9" w:rsidRPr="00280BD9" w14:paraId="7E7FAF26" w14:textId="77777777" w:rsidTr="00596B22">
              <w:trPr>
                <w:trHeight w:val="4393"/>
              </w:trPr>
              <w:tc>
                <w:tcPr>
                  <w:tcW w:w="5508" w:type="dxa"/>
                </w:tcPr>
                <w:p w14:paraId="6448681B" w14:textId="77777777" w:rsidR="00280BD9" w:rsidRPr="00280BD9" w:rsidRDefault="00E43958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noProof/>
                    </w:rPr>
                    <w:pict w14:anchorId="3734164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46.5pt;height:53.25pt;visibility:visible">
                        <v:imagedata r:id="rId6" o:title=""/>
                      </v:shape>
                    </w:pict>
                  </w:r>
                </w:p>
                <w:p w14:paraId="48CEAF5F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14:paraId="3C2AA801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14:paraId="4B7BF5B2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ул. Красноармейская, д. 16, г. Кушва,</w:t>
                  </w:r>
                </w:p>
                <w:p w14:paraId="6D8D8481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 Свердловская область, 624300</w:t>
                  </w:r>
                </w:p>
                <w:p w14:paraId="692136B5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Тел. (34344) 2-49-07, 2-54-60</w:t>
                  </w:r>
                </w:p>
                <w:p w14:paraId="3A3CA2AF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E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: 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kumi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kgo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@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.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ru</w:t>
                  </w:r>
                </w:p>
                <w:p w14:paraId="4339E0C0" w14:textId="77777777" w:rsidR="00280BD9" w:rsidRPr="00280BD9" w:rsidRDefault="00280BD9" w:rsidP="00280BD9">
                  <w:pPr>
                    <w:widowControl w:val="0"/>
                    <w:tabs>
                      <w:tab w:val="left" w:pos="4230"/>
                    </w:tabs>
                    <w:autoSpaceDE w:val="0"/>
                    <w:autoSpaceDN w:val="0"/>
                    <w:adjustRightInd w:val="0"/>
                    <w:spacing w:after="0" w:line="192" w:lineRule="auto"/>
                    <w:ind w:right="-28"/>
                    <w:rPr>
                      <w:rFonts w:ascii="Liberation Serif" w:eastAsia="Times New Roman" w:hAnsi="Liberation Serif" w:cs="Liberation Serif"/>
                    </w:rPr>
                  </w:pPr>
                </w:p>
                <w:tbl>
                  <w:tblPr>
                    <w:tblW w:w="4253" w:type="dxa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1560"/>
                    <w:gridCol w:w="283"/>
                    <w:gridCol w:w="1843"/>
                  </w:tblGrid>
                  <w:tr w:rsidR="00280BD9" w:rsidRPr="00280BD9" w14:paraId="43369AE0" w14:textId="77777777" w:rsidTr="00EF331E">
                    <w:tc>
                      <w:tcPr>
                        <w:tcW w:w="212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1E70030A" w14:textId="19F8E548" w:rsidR="00280BD9" w:rsidRPr="00280BD9" w:rsidRDefault="00280BD9" w:rsidP="009A56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 xml:space="preserve">От  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4A314F9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№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C6BC67" w14:textId="138B48BC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  <w:tr w:rsidR="00280BD9" w:rsidRPr="00280BD9" w14:paraId="5CC07D7E" w14:textId="77777777" w:rsidTr="00EF331E">
                    <w:tc>
                      <w:tcPr>
                        <w:tcW w:w="4253" w:type="dxa"/>
                        <w:gridSpan w:val="4"/>
                        <w:shd w:val="clear" w:color="auto" w:fill="auto"/>
                        <w:vAlign w:val="center"/>
                      </w:tcPr>
                      <w:p w14:paraId="20E06CF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  <w:sz w:val="16"/>
                          </w:rPr>
                        </w:pPr>
                      </w:p>
                    </w:tc>
                  </w:tr>
                  <w:tr w:rsidR="00280BD9" w:rsidRPr="00280BD9" w14:paraId="6611730D" w14:textId="77777777" w:rsidTr="00EF331E">
                    <w:tc>
                      <w:tcPr>
                        <w:tcW w:w="567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5F9B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На №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50D041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1752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от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7CB8746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</w:tbl>
                <w:p w14:paraId="02EA1F24" w14:textId="77777777" w:rsidR="00280BD9" w:rsidRPr="00280BD9" w:rsidRDefault="00280BD9" w:rsidP="00280BD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14:paraId="63A29523" w14:textId="77777777" w:rsidR="00A6287A" w:rsidRDefault="00A6287A" w:rsidP="00A6287A">
                  <w:pPr>
                    <w:spacing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E3CF6E2" w14:textId="77777777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1AF48AB" w14:textId="77777777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3C110C7" w14:textId="77777777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E376B38" w14:textId="77777777" w:rsidR="00A6287A" w:rsidRPr="00A6287A" w:rsidRDefault="00A6287A" w:rsidP="00A628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E27F8C7" w14:textId="656DB3B0" w:rsidR="00CC07E4" w:rsidRPr="00280BD9" w:rsidRDefault="00CC07E4" w:rsidP="00653DC9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36F423D" w14:textId="77777777" w:rsidR="00A859BA" w:rsidRPr="00280BD9" w:rsidRDefault="00A859BA" w:rsidP="00596B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71F4D8E" w14:textId="77777777" w:rsidR="00280BD9" w:rsidRPr="00280BD9" w:rsidRDefault="00A859BA" w:rsidP="00A859BA">
      <w:pPr>
        <w:jc w:val="both"/>
        <w:rPr>
          <w:rFonts w:ascii="Liberation Serif" w:hAnsi="Liberation Serif" w:cs="Liberation Serif"/>
          <w:sz w:val="20"/>
          <w:szCs w:val="20"/>
        </w:rPr>
      </w:pPr>
      <w:r w:rsidRPr="00280BD9">
        <w:rPr>
          <w:rFonts w:ascii="Liberation Serif" w:hAnsi="Liberation Serif" w:cs="Liberation Serif"/>
          <w:sz w:val="20"/>
          <w:szCs w:val="20"/>
        </w:rPr>
        <w:t xml:space="preserve">     </w:t>
      </w:r>
    </w:p>
    <w:p w14:paraId="447AA73B" w14:textId="57383029" w:rsidR="00A859BA" w:rsidRPr="00B17C86" w:rsidRDefault="00A859BA" w:rsidP="00A859BA">
      <w:pPr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  </w:t>
      </w:r>
      <w:r w:rsidR="001B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60EB" w14:textId="44092388" w:rsidR="00134FE8" w:rsidRPr="00653DC9" w:rsidRDefault="00AA55C3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Извещение о</w:t>
      </w:r>
      <w:r w:rsidR="00653DC9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новой дате и </w:t>
      </w:r>
      <w:proofErr w:type="gramStart"/>
      <w:r w:rsidR="00653DC9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времени </w:t>
      </w:r>
      <w:r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прове</w:t>
      </w:r>
      <w:r w:rsidR="00F74BC8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дени</w:t>
      </w:r>
      <w:r w:rsidR="00653DC9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я</w:t>
      </w:r>
      <w:proofErr w:type="gramEnd"/>
      <w:r w:rsidR="00F74BC8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283EF3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582767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открытого</w:t>
      </w:r>
      <w:r w:rsidR="00653DC9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электронного</w:t>
      </w:r>
      <w:r w:rsidR="00582767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B17C86" w:rsidRPr="00653D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аукциона</w:t>
      </w:r>
    </w:p>
    <w:p w14:paraId="41E2530E" w14:textId="41ABE4BB" w:rsidR="00283EF3" w:rsidRPr="00653DC9" w:rsidRDefault="00283EF3" w:rsidP="00653DC9">
      <w:pPr>
        <w:pStyle w:val="a7"/>
        <w:ind w:firstLine="709"/>
        <w:rPr>
          <w:rFonts w:ascii="Liberation Serif" w:hAnsi="Liberation Serif" w:cs="Liberation Serif"/>
          <w:sz w:val="28"/>
          <w:szCs w:val="28"/>
        </w:rPr>
      </w:pPr>
      <w:r w:rsidRPr="00653DC9">
        <w:rPr>
          <w:rFonts w:ascii="Liberation Serif" w:hAnsi="Liberation Serif" w:cs="Liberation Serif"/>
          <w:sz w:val="28"/>
          <w:szCs w:val="28"/>
        </w:rPr>
        <w:t xml:space="preserve">Организатор </w:t>
      </w:r>
      <w:r w:rsidR="008F6EA2" w:rsidRPr="00653DC9">
        <w:rPr>
          <w:rFonts w:ascii="Liberation Serif" w:hAnsi="Liberation Serif" w:cs="Liberation Serif"/>
          <w:sz w:val="28"/>
          <w:szCs w:val="28"/>
        </w:rPr>
        <w:t>аукциона</w:t>
      </w:r>
      <w:r w:rsidRPr="00653DC9">
        <w:rPr>
          <w:rFonts w:ascii="Liberation Serif" w:hAnsi="Liberation Serif" w:cs="Liberation Serif"/>
          <w:sz w:val="28"/>
          <w:szCs w:val="28"/>
        </w:rPr>
        <w:t>: Комитет по управлению муниципальным имуществом Кушвинского городского округа (624300, Свердловская область, г. Кушва, ул. Красноармейская, д. 16, тел. +7343442</w:t>
      </w:r>
      <w:r w:rsidR="009A566C" w:rsidRPr="00653DC9">
        <w:rPr>
          <w:rFonts w:ascii="Liberation Serif" w:hAnsi="Liberation Serif" w:cs="Liberation Serif"/>
          <w:sz w:val="28"/>
          <w:szCs w:val="28"/>
        </w:rPr>
        <w:t>7432</w:t>
      </w:r>
      <w:r w:rsidRPr="00653DC9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7" w:history="1"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kumi</w:t>
        </w:r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</w:rPr>
          <w:t>-</w:t>
        </w:r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kgo</w:t>
        </w:r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</w:rPr>
          <w:t>@</w:t>
        </w:r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r w:rsidR="00B17C86"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C53D42" w:rsidRPr="00653DC9">
        <w:rPr>
          <w:rFonts w:ascii="Liberation Serif" w:hAnsi="Liberation Serif" w:cs="Liberation Serif"/>
          <w:sz w:val="28"/>
          <w:szCs w:val="28"/>
        </w:rPr>
        <w:t>).</w:t>
      </w:r>
    </w:p>
    <w:p w14:paraId="7BDCBC7A" w14:textId="77777777" w:rsidR="00653DC9" w:rsidRPr="00653DC9" w:rsidRDefault="00653DC9" w:rsidP="00653DC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53DC9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Pr="00653DC9">
        <w:rPr>
          <w:rFonts w:ascii="Liberation Serif" w:eastAsia="Arial Unicode MS" w:hAnsi="Liberation Serif" w:cs="Liberation Serif"/>
          <w:sz w:val="28"/>
          <w:szCs w:val="28"/>
        </w:rPr>
        <w:t xml:space="preserve">предписания </w:t>
      </w:r>
      <w:r w:rsidRPr="00653DC9">
        <w:rPr>
          <w:rFonts w:ascii="Liberation Serif" w:hAnsi="Liberation Serif" w:cs="Liberation Serif"/>
          <w:sz w:val="28"/>
          <w:szCs w:val="28"/>
        </w:rPr>
        <w:t xml:space="preserve">Управления Федеральной антимонопольной службы по Свердловской области от 01.08.2024г, было принято решение об отмене результатов электронного аукциона по продаже права на заключение договора аренды земельного участка расположенного по адресу Свердловская </w:t>
      </w:r>
      <w:proofErr w:type="spellStart"/>
      <w:r w:rsidRPr="00653DC9">
        <w:rPr>
          <w:rFonts w:ascii="Liberation Serif" w:hAnsi="Liberation Serif" w:cs="Liberation Serif"/>
          <w:sz w:val="28"/>
          <w:szCs w:val="28"/>
        </w:rPr>
        <w:t>обл</w:t>
      </w:r>
      <w:proofErr w:type="spellEnd"/>
      <w:r w:rsidRPr="00653DC9">
        <w:rPr>
          <w:rFonts w:ascii="Liberation Serif" w:hAnsi="Liberation Serif" w:cs="Liberation Serif"/>
          <w:sz w:val="28"/>
          <w:szCs w:val="28"/>
        </w:rPr>
        <w:t xml:space="preserve">, пос. Баранчинский, ул. Союзов, граничащего с земельным участком с кадастровым номером 66:53:0701001:28, общей площадью 17100,00 </w:t>
      </w:r>
      <w:proofErr w:type="spellStart"/>
      <w:r w:rsidRPr="00653DC9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653DC9">
        <w:rPr>
          <w:rFonts w:ascii="Liberation Serif" w:hAnsi="Liberation Serif" w:cs="Liberation Serif"/>
          <w:sz w:val="28"/>
          <w:szCs w:val="28"/>
        </w:rPr>
        <w:t xml:space="preserve">., с кадастровым номером 66:53:0701001:521, согласно извещению,  </w:t>
      </w:r>
      <w:r w:rsidRPr="00653DC9">
        <w:rPr>
          <w:rFonts w:ascii="Liberation Serif" w:eastAsia="Arial Unicode MS" w:hAnsi="Liberation Serif" w:cs="Liberation Serif"/>
          <w:sz w:val="28"/>
          <w:szCs w:val="28"/>
        </w:rPr>
        <w:t xml:space="preserve">опубликованному </w:t>
      </w:r>
      <w:r w:rsidRPr="00653DC9">
        <w:rPr>
          <w:rFonts w:ascii="Liberation Serif" w:hAnsi="Liberation Serif" w:cs="Liberation Serif"/>
          <w:sz w:val="28"/>
          <w:szCs w:val="28"/>
        </w:rPr>
        <w:t xml:space="preserve">на официальном сайте Российской Федерации </w:t>
      </w:r>
      <w:hyperlink r:id="rId8" w:history="1">
        <w:r w:rsidRPr="00653DC9">
          <w:rPr>
            <w:rStyle w:val="a6"/>
            <w:rFonts w:ascii="Liberation Serif" w:hAnsi="Liberation Serif" w:cs="Liberation Serif"/>
            <w:sz w:val="28"/>
            <w:szCs w:val="28"/>
          </w:rPr>
          <w:t>https://torgi.gov.ru</w:t>
        </w:r>
      </w:hyperlink>
      <w:r w:rsidRPr="00653DC9">
        <w:rPr>
          <w:rFonts w:ascii="Liberation Serif" w:hAnsi="Liberation Serif" w:cs="Liberation Serif"/>
          <w:sz w:val="28"/>
          <w:szCs w:val="28"/>
        </w:rPr>
        <w:t xml:space="preserve">, № 21000024460000000063, торги № </w:t>
      </w:r>
      <w:r w:rsidRPr="00653DC9">
        <w:rPr>
          <w:rFonts w:ascii="Liberation Serif" w:hAnsi="Liberation Serif" w:cs="Liberation Serif"/>
          <w:sz w:val="28"/>
          <w:szCs w:val="28"/>
          <w:lang w:val="en-US"/>
        </w:rPr>
        <w:t>SBR</w:t>
      </w:r>
      <w:r w:rsidRPr="00653DC9">
        <w:rPr>
          <w:rFonts w:ascii="Liberation Serif" w:hAnsi="Liberation Serif" w:cs="Liberation Serif"/>
          <w:sz w:val="28"/>
          <w:szCs w:val="28"/>
        </w:rPr>
        <w:t xml:space="preserve">012-2406110019 на сайте </w:t>
      </w:r>
      <w:hyperlink r:id="rId9" w:history="1">
        <w:r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Pr="00653DC9">
          <w:rPr>
            <w:rStyle w:val="a6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utp</w:t>
        </w:r>
        <w:proofErr w:type="spellEnd"/>
        <w:r w:rsidRPr="00653DC9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sberbank</w:t>
        </w:r>
        <w:proofErr w:type="spellEnd"/>
        <w:r w:rsidRPr="00653DC9">
          <w:rPr>
            <w:rStyle w:val="a6"/>
            <w:rFonts w:ascii="Liberation Serif" w:hAnsi="Liberation Serif" w:cs="Liberation Serif"/>
            <w:sz w:val="28"/>
            <w:szCs w:val="28"/>
          </w:rPr>
          <w:t>-</w:t>
        </w:r>
        <w:proofErr w:type="spellStart"/>
        <w:r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ast</w:t>
        </w:r>
        <w:proofErr w:type="spellEnd"/>
        <w:r w:rsidRPr="00653DC9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r w:rsidRPr="00653DC9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653DC9">
        <w:rPr>
          <w:rStyle w:val="a6"/>
          <w:rFonts w:ascii="Liberation Serif" w:hAnsi="Liberation Serif" w:cs="Liberation Serif"/>
          <w:sz w:val="28"/>
          <w:szCs w:val="28"/>
        </w:rPr>
        <w:t>.</w:t>
      </w:r>
      <w:r w:rsidRPr="00653DC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6DA1C1B" w14:textId="2EDF1B1E" w:rsidR="00B17C86" w:rsidRPr="00653DC9" w:rsidRDefault="00653DC9" w:rsidP="00F93396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3DC9">
        <w:rPr>
          <w:rFonts w:ascii="Liberation Serif" w:hAnsi="Liberation Serif" w:cs="Liberation Serif"/>
          <w:sz w:val="28"/>
          <w:szCs w:val="28"/>
        </w:rPr>
        <w:t xml:space="preserve">В соответствии с протоколом принятия решения об отмене результатов электронного аукциона по продаже права на заключение договора аренды земельного участка, Комитет по управлению муниципальным имуществом Кушвинского городского округа, извещает о новой дате и времени проведения данного аукциона – </w:t>
      </w:r>
      <w:r w:rsidRPr="00653DC9">
        <w:rPr>
          <w:rFonts w:ascii="Liberation Serif" w:hAnsi="Liberation Serif" w:cs="Liberation Serif"/>
          <w:b/>
          <w:bCs/>
          <w:sz w:val="28"/>
          <w:szCs w:val="28"/>
        </w:rPr>
        <w:t xml:space="preserve">10 сентября 2024 года в 10:00 (по МСК). </w:t>
      </w:r>
      <w:r w:rsidR="00A859BA" w:rsidRPr="00653DC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C450A6C" w14:textId="3FAD9532" w:rsidR="007F728E" w:rsidRPr="00653DC9" w:rsidRDefault="007F728E" w:rsidP="00582767">
      <w:pPr>
        <w:pStyle w:val="ConsPlusTitle"/>
        <w:spacing w:before="20" w:after="20"/>
        <w:jc w:val="both"/>
        <w:rPr>
          <w:rFonts w:ascii="Liberation Serif" w:hAnsi="Liberation Serif" w:cs="Liberation Serif"/>
          <w:sz w:val="28"/>
          <w:szCs w:val="28"/>
        </w:rPr>
      </w:pPr>
    </w:p>
    <w:p w14:paraId="01416F57" w14:textId="77777777" w:rsidR="007F728E" w:rsidRPr="00653DC9" w:rsidRDefault="007F728E" w:rsidP="00582767">
      <w:pPr>
        <w:pStyle w:val="ConsPlusTitle"/>
        <w:spacing w:before="20" w:after="20"/>
        <w:jc w:val="both"/>
        <w:rPr>
          <w:rFonts w:ascii="Liberation Serif" w:hAnsi="Liberation Serif" w:cs="Liberation Serif"/>
          <w:sz w:val="28"/>
          <w:szCs w:val="28"/>
        </w:rPr>
      </w:pPr>
    </w:p>
    <w:p w14:paraId="333455A6" w14:textId="28FB195D" w:rsidR="00B17C86" w:rsidRPr="00E43958" w:rsidRDefault="00F84C0F" w:rsidP="00582767">
      <w:pPr>
        <w:pStyle w:val="ConsPlusTitle"/>
        <w:spacing w:before="20" w:after="20"/>
        <w:jc w:val="both"/>
        <w:rPr>
          <w:b w:val="0"/>
          <w:bCs w:val="0"/>
        </w:rPr>
      </w:pPr>
      <w:r w:rsidRPr="00653DC9">
        <w:rPr>
          <w:rFonts w:ascii="Liberation Serif" w:hAnsi="Liberation Serif" w:cs="Liberation Serif"/>
          <w:sz w:val="28"/>
          <w:szCs w:val="28"/>
        </w:rPr>
        <w:t xml:space="preserve"> </w:t>
      </w:r>
      <w:r w:rsidR="00A859BA" w:rsidRPr="00653DC9">
        <w:rPr>
          <w:rFonts w:ascii="Liberation Serif" w:hAnsi="Liberation Serif" w:cs="Liberation Serif"/>
          <w:sz w:val="28"/>
          <w:szCs w:val="28"/>
        </w:rPr>
        <w:t xml:space="preserve"> </w:t>
      </w:r>
      <w:r w:rsidR="00653DC9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Заместитель </w:t>
      </w:r>
      <w:proofErr w:type="gramStart"/>
      <w:r w:rsidR="00653DC9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>п</w:t>
      </w:r>
      <w:r w:rsidR="00A859BA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>редседател</w:t>
      </w:r>
      <w:r w:rsidR="00653DC9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>я</w:t>
      </w:r>
      <w:r w:rsidR="003A7F7A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="00A859BA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="007F728E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>К</w:t>
      </w:r>
      <w:r w:rsidR="00A859BA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>омитета</w:t>
      </w:r>
      <w:proofErr w:type="gramEnd"/>
      <w:r w:rsidR="00EC0B22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="00067C59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="00134FE8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                         </w:t>
      </w:r>
      <w:r w:rsidR="00067C59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 </w:t>
      </w:r>
      <w:r w:rsidR="0017134F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</w:t>
      </w:r>
      <w:r w:rsidR="00A859BA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</w:t>
      </w:r>
      <w:r w:rsidR="00653DC9" w:rsidRPr="00E43958">
        <w:rPr>
          <w:rFonts w:ascii="Liberation Serif" w:hAnsi="Liberation Serif" w:cs="Liberation Serif"/>
          <w:b w:val="0"/>
          <w:bCs w:val="0"/>
          <w:sz w:val="28"/>
          <w:szCs w:val="28"/>
        </w:rPr>
        <w:t>Е.Г. Куценко</w:t>
      </w:r>
    </w:p>
    <w:p w14:paraId="5148D096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797E5E69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0780DF92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5390E83C" w14:textId="7FF8D142" w:rsidR="00B17C86" w:rsidRPr="008B4397" w:rsidRDefault="00B17C86" w:rsidP="00582767">
      <w:pPr>
        <w:pStyle w:val="ConsPlusTitle"/>
        <w:spacing w:before="20" w:after="20"/>
        <w:jc w:val="both"/>
        <w:rPr>
          <w:b w:val="0"/>
          <w:bCs w:val="0"/>
          <w:sz w:val="20"/>
          <w:szCs w:val="20"/>
        </w:rPr>
      </w:pPr>
      <w:r w:rsidRPr="008B4397">
        <w:rPr>
          <w:b w:val="0"/>
          <w:bCs w:val="0"/>
          <w:sz w:val="20"/>
          <w:szCs w:val="20"/>
        </w:rPr>
        <w:t>Исп. Власова Тамара Викторовна</w:t>
      </w:r>
    </w:p>
    <w:p w14:paraId="6A3F04D2" w14:textId="6536B529" w:rsidR="00B17C86" w:rsidRPr="008B4397" w:rsidRDefault="00B17C86" w:rsidP="00582767">
      <w:pPr>
        <w:pStyle w:val="ConsPlusTitle"/>
        <w:spacing w:before="20" w:after="20"/>
        <w:jc w:val="both"/>
        <w:rPr>
          <w:b w:val="0"/>
          <w:bCs w:val="0"/>
          <w:sz w:val="20"/>
          <w:szCs w:val="20"/>
        </w:rPr>
      </w:pPr>
      <w:r w:rsidRPr="008B4397">
        <w:rPr>
          <w:b w:val="0"/>
          <w:bCs w:val="0"/>
          <w:sz w:val="20"/>
          <w:szCs w:val="20"/>
        </w:rPr>
        <w:t>(34344) 2-74-32</w:t>
      </w:r>
    </w:p>
    <w:p w14:paraId="54D82D23" w14:textId="77777777" w:rsidR="00F84C0F" w:rsidRPr="00B17C86" w:rsidRDefault="00F84C0F">
      <w:pPr>
        <w:rPr>
          <w:rFonts w:ascii="Times New Roman" w:hAnsi="Times New Roman" w:cs="Times New Roman"/>
          <w:sz w:val="24"/>
          <w:szCs w:val="24"/>
        </w:rPr>
      </w:pPr>
    </w:p>
    <w:sectPr w:rsidR="00F84C0F" w:rsidRPr="00B17C86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558D"/>
    <w:rsid w:val="00016F0C"/>
    <w:rsid w:val="00035904"/>
    <w:rsid w:val="00043599"/>
    <w:rsid w:val="000603F2"/>
    <w:rsid w:val="00067C59"/>
    <w:rsid w:val="00080E47"/>
    <w:rsid w:val="000A48FC"/>
    <w:rsid w:val="000A4FB5"/>
    <w:rsid w:val="000A75DC"/>
    <w:rsid w:val="000B716D"/>
    <w:rsid w:val="000F460D"/>
    <w:rsid w:val="00134245"/>
    <w:rsid w:val="00134CC7"/>
    <w:rsid w:val="00134FE8"/>
    <w:rsid w:val="001552C0"/>
    <w:rsid w:val="00161A79"/>
    <w:rsid w:val="00163E58"/>
    <w:rsid w:val="001712D3"/>
    <w:rsid w:val="0017134F"/>
    <w:rsid w:val="00172927"/>
    <w:rsid w:val="00183662"/>
    <w:rsid w:val="001B0319"/>
    <w:rsid w:val="001B3CD2"/>
    <w:rsid w:val="001B5F58"/>
    <w:rsid w:val="001B7DAD"/>
    <w:rsid w:val="001C43CC"/>
    <w:rsid w:val="001E5811"/>
    <w:rsid w:val="00210CC3"/>
    <w:rsid w:val="00213771"/>
    <w:rsid w:val="002141A2"/>
    <w:rsid w:val="0025093B"/>
    <w:rsid w:val="00280BD9"/>
    <w:rsid w:val="00283EF3"/>
    <w:rsid w:val="002C6CC7"/>
    <w:rsid w:val="002E7A9F"/>
    <w:rsid w:val="002F02E3"/>
    <w:rsid w:val="002F6CFD"/>
    <w:rsid w:val="00302ECC"/>
    <w:rsid w:val="00345D30"/>
    <w:rsid w:val="00347560"/>
    <w:rsid w:val="00355D7D"/>
    <w:rsid w:val="00384695"/>
    <w:rsid w:val="003A6561"/>
    <w:rsid w:val="003A6741"/>
    <w:rsid w:val="003A6B04"/>
    <w:rsid w:val="003A7F7A"/>
    <w:rsid w:val="003B7C53"/>
    <w:rsid w:val="003C6518"/>
    <w:rsid w:val="003D1979"/>
    <w:rsid w:val="00424371"/>
    <w:rsid w:val="00426918"/>
    <w:rsid w:val="00444E97"/>
    <w:rsid w:val="004869D4"/>
    <w:rsid w:val="0048708C"/>
    <w:rsid w:val="004B46C1"/>
    <w:rsid w:val="004C19F9"/>
    <w:rsid w:val="004D105A"/>
    <w:rsid w:val="004E3950"/>
    <w:rsid w:val="004E5C38"/>
    <w:rsid w:val="004F01E9"/>
    <w:rsid w:val="005221C5"/>
    <w:rsid w:val="00532606"/>
    <w:rsid w:val="00575582"/>
    <w:rsid w:val="00582767"/>
    <w:rsid w:val="00597D3B"/>
    <w:rsid w:val="006533BC"/>
    <w:rsid w:val="00653DC9"/>
    <w:rsid w:val="00673D36"/>
    <w:rsid w:val="0068512E"/>
    <w:rsid w:val="006B0A1C"/>
    <w:rsid w:val="006C25E3"/>
    <w:rsid w:val="007143A7"/>
    <w:rsid w:val="00722D33"/>
    <w:rsid w:val="00746332"/>
    <w:rsid w:val="00777F5A"/>
    <w:rsid w:val="007949AD"/>
    <w:rsid w:val="007A2250"/>
    <w:rsid w:val="007A40DB"/>
    <w:rsid w:val="007E3850"/>
    <w:rsid w:val="007F57C1"/>
    <w:rsid w:val="007F728E"/>
    <w:rsid w:val="00833B33"/>
    <w:rsid w:val="0086496B"/>
    <w:rsid w:val="00864C3B"/>
    <w:rsid w:val="00890DD9"/>
    <w:rsid w:val="008912A2"/>
    <w:rsid w:val="00891D5B"/>
    <w:rsid w:val="008A207A"/>
    <w:rsid w:val="008B4397"/>
    <w:rsid w:val="008C01FC"/>
    <w:rsid w:val="008E3CE1"/>
    <w:rsid w:val="008F6EA2"/>
    <w:rsid w:val="00901ED0"/>
    <w:rsid w:val="00911FA3"/>
    <w:rsid w:val="00985F13"/>
    <w:rsid w:val="009A566C"/>
    <w:rsid w:val="009B42E6"/>
    <w:rsid w:val="009C305B"/>
    <w:rsid w:val="009C71B4"/>
    <w:rsid w:val="009F2C06"/>
    <w:rsid w:val="009F67A5"/>
    <w:rsid w:val="00A00C9B"/>
    <w:rsid w:val="00A0120B"/>
    <w:rsid w:val="00A6287A"/>
    <w:rsid w:val="00A675D1"/>
    <w:rsid w:val="00A735CB"/>
    <w:rsid w:val="00A80A90"/>
    <w:rsid w:val="00A859BA"/>
    <w:rsid w:val="00A93BA8"/>
    <w:rsid w:val="00AA55C3"/>
    <w:rsid w:val="00AC1723"/>
    <w:rsid w:val="00AD313D"/>
    <w:rsid w:val="00AE7F2D"/>
    <w:rsid w:val="00AF77AF"/>
    <w:rsid w:val="00B17C86"/>
    <w:rsid w:val="00B27FFE"/>
    <w:rsid w:val="00B5331E"/>
    <w:rsid w:val="00B56DB0"/>
    <w:rsid w:val="00B76C23"/>
    <w:rsid w:val="00BC17D5"/>
    <w:rsid w:val="00BC45F0"/>
    <w:rsid w:val="00BE49F0"/>
    <w:rsid w:val="00BE72D8"/>
    <w:rsid w:val="00BF1746"/>
    <w:rsid w:val="00BF70ED"/>
    <w:rsid w:val="00C00CBF"/>
    <w:rsid w:val="00C13A29"/>
    <w:rsid w:val="00C17526"/>
    <w:rsid w:val="00C508FC"/>
    <w:rsid w:val="00C53D42"/>
    <w:rsid w:val="00C81B68"/>
    <w:rsid w:val="00C823CC"/>
    <w:rsid w:val="00C946EF"/>
    <w:rsid w:val="00C96096"/>
    <w:rsid w:val="00CA61B3"/>
    <w:rsid w:val="00CC07E4"/>
    <w:rsid w:val="00CD21E7"/>
    <w:rsid w:val="00CD45CA"/>
    <w:rsid w:val="00CD4C90"/>
    <w:rsid w:val="00D1235F"/>
    <w:rsid w:val="00D26C28"/>
    <w:rsid w:val="00D836C1"/>
    <w:rsid w:val="00DA039A"/>
    <w:rsid w:val="00DC547D"/>
    <w:rsid w:val="00DF72E3"/>
    <w:rsid w:val="00E349BC"/>
    <w:rsid w:val="00E43958"/>
    <w:rsid w:val="00E5088C"/>
    <w:rsid w:val="00E84E21"/>
    <w:rsid w:val="00E87857"/>
    <w:rsid w:val="00EC0B22"/>
    <w:rsid w:val="00EC1FCF"/>
    <w:rsid w:val="00ED3396"/>
    <w:rsid w:val="00EE114E"/>
    <w:rsid w:val="00F27BDA"/>
    <w:rsid w:val="00F324C8"/>
    <w:rsid w:val="00F33D87"/>
    <w:rsid w:val="00F50BC0"/>
    <w:rsid w:val="00F52588"/>
    <w:rsid w:val="00F57784"/>
    <w:rsid w:val="00F6133C"/>
    <w:rsid w:val="00F74BC8"/>
    <w:rsid w:val="00F80076"/>
    <w:rsid w:val="00F8056B"/>
    <w:rsid w:val="00F84C0F"/>
    <w:rsid w:val="00F93396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7F283"/>
  <w15:docId w15:val="{52D57CF2-5270-4DA8-B6E3-6489D8D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B17C86"/>
    <w:rPr>
      <w:color w:val="605E5C"/>
      <w:shd w:val="clear" w:color="auto" w:fill="E1DFDD"/>
    </w:rPr>
  </w:style>
  <w:style w:type="paragraph" w:customStyle="1" w:styleId="a9">
    <w:basedOn w:val="a"/>
    <w:next w:val="aa"/>
    <w:rsid w:val="00B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17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umi-k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A837-803A-4852-9D33-C873A7FA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Pushkareva</cp:lastModifiedBy>
  <cp:revision>3</cp:revision>
  <cp:lastPrinted>2023-12-06T06:50:00Z</cp:lastPrinted>
  <dcterms:created xsi:type="dcterms:W3CDTF">2024-08-14T05:09:00Z</dcterms:created>
  <dcterms:modified xsi:type="dcterms:W3CDTF">2024-08-14T05:11:00Z</dcterms:modified>
</cp:coreProperties>
</file>